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3A7" w:rsidRDefault="002053A7">
      <w:pPr>
        <w:spacing w:after="160" w:line="259" w:lineRule="auto"/>
        <w:rPr>
          <w:rFonts w:ascii="Arial" w:hAnsi="Arial" w:cs="Arial"/>
          <w:b/>
          <w:bCs/>
          <w:sz w:val="32"/>
          <w:szCs w:val="32"/>
        </w:rPr>
      </w:pPr>
    </w:p>
    <w:p w:rsidR="002053A7" w:rsidRDefault="002053A7">
      <w:pPr>
        <w:spacing w:after="160" w:line="259" w:lineRule="auto"/>
        <w:rPr>
          <w:rFonts w:ascii="Arial" w:hAnsi="Arial" w:cs="Arial"/>
          <w:b/>
          <w:bCs/>
          <w:sz w:val="32"/>
          <w:szCs w:val="32"/>
        </w:rPr>
      </w:pPr>
    </w:p>
    <w:p w:rsidR="002053A7" w:rsidRPr="00194E3C" w:rsidRDefault="002053A7" w:rsidP="002053A7">
      <w:pPr>
        <w:spacing w:before="240"/>
        <w:jc w:val="right"/>
        <w:rPr>
          <w:b/>
          <w:bCs/>
          <w:sz w:val="48"/>
          <w:szCs w:val="48"/>
        </w:rPr>
      </w:pPr>
      <w:r w:rsidRPr="00194E3C">
        <w:rPr>
          <w:sz w:val="48"/>
          <w:szCs w:val="48"/>
        </w:rPr>
        <w:t xml:space="preserve">Programme Business Case </w:t>
      </w:r>
      <w:r w:rsidRPr="00194E3C">
        <w:rPr>
          <w:sz w:val="48"/>
          <w:szCs w:val="48"/>
        </w:rPr>
        <w:br/>
        <w:t xml:space="preserve">for an </w:t>
      </w:r>
      <w:r w:rsidRPr="00194E3C">
        <w:rPr>
          <w:b/>
          <w:bCs/>
          <w:sz w:val="48"/>
          <w:szCs w:val="48"/>
        </w:rPr>
        <w:t>All Wales Positron Emission Tomography (PET) Service</w:t>
      </w:r>
    </w:p>
    <w:p w:rsidR="002053A7" w:rsidRDefault="002053A7" w:rsidP="002053A7">
      <w:pPr>
        <w:spacing w:before="240"/>
        <w:jc w:val="right"/>
        <w:rPr>
          <w:b/>
          <w:bCs/>
          <w:sz w:val="56"/>
          <w:szCs w:val="56"/>
        </w:rPr>
      </w:pPr>
    </w:p>
    <w:p w:rsidR="006F23F5" w:rsidRDefault="006F23F5" w:rsidP="002053A7">
      <w:pPr>
        <w:spacing w:before="240"/>
        <w:jc w:val="right"/>
        <w:rPr>
          <w:b/>
          <w:bCs/>
          <w:sz w:val="56"/>
          <w:szCs w:val="56"/>
        </w:rPr>
      </w:pPr>
    </w:p>
    <w:p w:rsidR="002053A7" w:rsidRDefault="002053A7" w:rsidP="002053A7">
      <w:pPr>
        <w:jc w:val="right"/>
        <w:rPr>
          <w:b/>
          <w:bCs/>
          <w:color w:val="1F4E79" w:themeColor="accent1" w:themeShade="80"/>
          <w:sz w:val="56"/>
          <w:szCs w:val="56"/>
        </w:rPr>
      </w:pPr>
      <w:r w:rsidRPr="002053A7">
        <w:rPr>
          <w:b/>
          <w:bCs/>
          <w:color w:val="1F4E79"/>
          <w:sz w:val="48"/>
          <w:szCs w:val="56"/>
        </w:rPr>
        <w:t xml:space="preserve">Gap analysis </w:t>
      </w:r>
      <w:r>
        <w:rPr>
          <w:b/>
          <w:bCs/>
          <w:color w:val="1F4E79"/>
          <w:sz w:val="48"/>
          <w:szCs w:val="56"/>
        </w:rPr>
        <w:t>of PET provision Wales compared to</w:t>
      </w:r>
      <w:r w:rsidRPr="002053A7">
        <w:rPr>
          <w:b/>
          <w:bCs/>
          <w:color w:val="1F4E79"/>
          <w:sz w:val="48"/>
          <w:szCs w:val="56"/>
        </w:rPr>
        <w:t xml:space="preserve"> England 2021</w:t>
      </w:r>
    </w:p>
    <w:p w:rsidR="002053A7" w:rsidRDefault="002053A7" w:rsidP="002053A7">
      <w:pPr>
        <w:jc w:val="right"/>
        <w:rPr>
          <w:b/>
          <w:bCs/>
          <w:color w:val="1F4E79" w:themeColor="accent1" w:themeShade="80"/>
          <w:sz w:val="48"/>
          <w:szCs w:val="56"/>
        </w:rPr>
      </w:pPr>
    </w:p>
    <w:p w:rsidR="006F23F5" w:rsidRDefault="006F23F5" w:rsidP="002053A7">
      <w:pPr>
        <w:jc w:val="right"/>
        <w:rPr>
          <w:b/>
          <w:bCs/>
          <w:color w:val="1F4E79" w:themeColor="accent1" w:themeShade="80"/>
          <w:sz w:val="48"/>
          <w:szCs w:val="56"/>
        </w:rPr>
      </w:pPr>
    </w:p>
    <w:p w:rsidR="002053A7" w:rsidRDefault="002053A7" w:rsidP="002053A7">
      <w:pPr>
        <w:jc w:val="right"/>
        <w:rPr>
          <w:b/>
          <w:bCs/>
          <w:color w:val="1F4E79" w:themeColor="accent1" w:themeShade="80"/>
          <w:sz w:val="48"/>
          <w:szCs w:val="56"/>
        </w:rPr>
      </w:pPr>
      <w:r>
        <w:rPr>
          <w:b/>
          <w:bCs/>
          <w:color w:val="1F4E79" w:themeColor="accent1" w:themeShade="80"/>
          <w:sz w:val="48"/>
          <w:szCs w:val="56"/>
        </w:rPr>
        <w:t xml:space="preserve">Strategic Case - </w:t>
      </w:r>
      <w:r>
        <w:rPr>
          <w:b/>
          <w:bCs/>
          <w:color w:val="1F4E79" w:themeColor="accent1" w:themeShade="80"/>
          <w:sz w:val="48"/>
          <w:szCs w:val="56"/>
        </w:rPr>
        <w:t>Appendix 5</w:t>
      </w:r>
    </w:p>
    <w:p w:rsidR="002053A7" w:rsidRDefault="002053A7" w:rsidP="002053A7">
      <w:pPr>
        <w:jc w:val="right"/>
        <w:rPr>
          <w:b/>
          <w:bCs/>
          <w:color w:val="1F4E79" w:themeColor="accent1" w:themeShade="80"/>
          <w:sz w:val="48"/>
          <w:szCs w:val="56"/>
        </w:rPr>
      </w:pPr>
    </w:p>
    <w:p w:rsidR="002053A7" w:rsidRDefault="002053A7" w:rsidP="002053A7">
      <w:pPr>
        <w:jc w:val="right"/>
        <w:rPr>
          <w:b/>
          <w:bCs/>
          <w:color w:val="1F4E79" w:themeColor="accent1" w:themeShade="80"/>
          <w:sz w:val="48"/>
          <w:szCs w:val="56"/>
        </w:rPr>
      </w:pPr>
    </w:p>
    <w:p w:rsidR="002053A7" w:rsidRDefault="002053A7" w:rsidP="002053A7">
      <w:pPr>
        <w:jc w:val="right"/>
        <w:rPr>
          <w:b/>
          <w:bCs/>
          <w:color w:val="1F4E79" w:themeColor="accent1" w:themeShade="80"/>
          <w:sz w:val="48"/>
          <w:szCs w:val="56"/>
        </w:rPr>
      </w:pPr>
    </w:p>
    <w:p w:rsidR="002053A7" w:rsidRDefault="002053A7" w:rsidP="002053A7">
      <w:pPr>
        <w:jc w:val="right"/>
        <w:rPr>
          <w:b/>
          <w:bCs/>
          <w:color w:val="1F4E79" w:themeColor="accent1" w:themeShade="80"/>
          <w:sz w:val="48"/>
          <w:szCs w:val="56"/>
        </w:rPr>
      </w:pPr>
    </w:p>
    <w:p w:rsidR="002053A7" w:rsidRPr="002053A7" w:rsidRDefault="002053A7" w:rsidP="002053A7">
      <w:pPr>
        <w:jc w:val="right"/>
        <w:rPr>
          <w:b/>
          <w:bCs/>
          <w:sz w:val="28"/>
          <w:szCs w:val="28"/>
        </w:rPr>
      </w:pPr>
      <w:r w:rsidRPr="002053A7">
        <w:rPr>
          <w:b/>
          <w:bCs/>
          <w:sz w:val="28"/>
          <w:szCs w:val="28"/>
        </w:rPr>
        <w:t>Author: Patric</w:t>
      </w:r>
      <w:bookmarkStart w:id="0" w:name="_GoBack"/>
      <w:bookmarkEnd w:id="0"/>
      <w:r w:rsidRPr="002053A7">
        <w:rPr>
          <w:b/>
          <w:bCs/>
          <w:sz w:val="28"/>
          <w:szCs w:val="28"/>
        </w:rPr>
        <w:t>k Fielding</w:t>
      </w:r>
      <w:r>
        <w:rPr>
          <w:b/>
          <w:bCs/>
          <w:sz w:val="28"/>
          <w:szCs w:val="28"/>
        </w:rPr>
        <w:t xml:space="preserve"> (March 2021)</w:t>
      </w:r>
    </w:p>
    <w:p w:rsidR="00345DE1" w:rsidRPr="002053A7" w:rsidRDefault="00345DE1" w:rsidP="002053A7">
      <w:pPr>
        <w:spacing w:after="160" w:line="259" w:lineRule="auto"/>
        <w:jc w:val="both"/>
        <w:rPr>
          <w:rFonts w:ascii="Arial" w:hAnsi="Arial" w:cs="Arial"/>
          <w:bCs/>
        </w:rPr>
      </w:pPr>
      <w:r w:rsidRPr="002053A7">
        <w:rPr>
          <w:rFonts w:ascii="Arial" w:hAnsi="Arial" w:cs="Arial"/>
          <w:bCs/>
        </w:rPr>
        <w:lastRenderedPageBreak/>
        <w:t xml:space="preserve">This </w:t>
      </w:r>
      <w:r w:rsidR="00264EFD" w:rsidRPr="002053A7">
        <w:rPr>
          <w:rFonts w:ascii="Arial" w:hAnsi="Arial" w:cs="Arial"/>
          <w:bCs/>
        </w:rPr>
        <w:t>year’s</w:t>
      </w:r>
      <w:r w:rsidRPr="002053A7">
        <w:rPr>
          <w:rFonts w:ascii="Arial" w:hAnsi="Arial" w:cs="Arial"/>
          <w:bCs/>
        </w:rPr>
        <w:t xml:space="preserve"> report is going to be very brief. Because of the COVID -19 </w:t>
      </w:r>
      <w:r w:rsidR="00264EFD" w:rsidRPr="002053A7">
        <w:rPr>
          <w:rFonts w:ascii="Arial" w:hAnsi="Arial" w:cs="Arial"/>
          <w:bCs/>
        </w:rPr>
        <w:t>pandemic</w:t>
      </w:r>
      <w:r w:rsidRPr="002053A7">
        <w:rPr>
          <w:rFonts w:ascii="Arial" w:hAnsi="Arial" w:cs="Arial"/>
          <w:bCs/>
        </w:rPr>
        <w:t xml:space="preserve">, there has been a big impact on numbers of PET scans performed for oncology and </w:t>
      </w:r>
      <w:r w:rsidR="00264EFD" w:rsidRPr="002053A7">
        <w:rPr>
          <w:rFonts w:ascii="Arial" w:hAnsi="Arial" w:cs="Arial"/>
          <w:bCs/>
        </w:rPr>
        <w:t>non-oncology</w:t>
      </w:r>
      <w:r w:rsidRPr="002053A7">
        <w:rPr>
          <w:rFonts w:ascii="Arial" w:hAnsi="Arial" w:cs="Arial"/>
          <w:bCs/>
        </w:rPr>
        <w:t xml:space="preserve"> indications throughout the world, affecting both England </w:t>
      </w:r>
      <w:r w:rsidR="00264EFD" w:rsidRPr="002053A7">
        <w:rPr>
          <w:rFonts w:ascii="Arial" w:hAnsi="Arial" w:cs="Arial"/>
          <w:bCs/>
        </w:rPr>
        <w:t xml:space="preserve">and Wales. </w:t>
      </w:r>
      <w:r w:rsidRPr="002053A7">
        <w:rPr>
          <w:rFonts w:ascii="Arial" w:hAnsi="Arial" w:cs="Arial"/>
          <w:bCs/>
        </w:rPr>
        <w:t xml:space="preserve">Prior </w:t>
      </w:r>
      <w:r w:rsidR="00264EFD" w:rsidRPr="002053A7">
        <w:rPr>
          <w:rFonts w:ascii="Arial" w:hAnsi="Arial" w:cs="Arial"/>
          <w:bCs/>
        </w:rPr>
        <w:t xml:space="preserve">gap analysis </w:t>
      </w:r>
      <w:r w:rsidRPr="002053A7">
        <w:rPr>
          <w:rFonts w:ascii="Arial" w:hAnsi="Arial" w:cs="Arial"/>
          <w:bCs/>
        </w:rPr>
        <w:t>reports have looked at trends in PET imaging rates per million population per year but this is omitted from the current report.</w:t>
      </w:r>
    </w:p>
    <w:p w:rsidR="005D5FB4" w:rsidRPr="002053A7" w:rsidRDefault="00345DE1" w:rsidP="002053A7">
      <w:pPr>
        <w:spacing w:after="160" w:line="259" w:lineRule="auto"/>
        <w:jc w:val="both"/>
        <w:rPr>
          <w:rFonts w:ascii="Arial" w:hAnsi="Arial" w:cs="Arial"/>
          <w:bCs/>
        </w:rPr>
      </w:pPr>
      <w:r w:rsidRPr="002053A7">
        <w:rPr>
          <w:rFonts w:ascii="Arial" w:hAnsi="Arial" w:cs="Arial"/>
          <w:bCs/>
        </w:rPr>
        <w:t xml:space="preserve">Also omitted from the current report are detailed explanations of the differences in wording </w:t>
      </w:r>
      <w:r w:rsidR="005D5FB4" w:rsidRPr="002053A7">
        <w:rPr>
          <w:rFonts w:ascii="Arial" w:hAnsi="Arial" w:cs="Arial"/>
          <w:bCs/>
        </w:rPr>
        <w:t xml:space="preserve">of commissioning policy </w:t>
      </w:r>
      <w:r w:rsidRPr="002053A7">
        <w:rPr>
          <w:rFonts w:ascii="Arial" w:hAnsi="Arial" w:cs="Arial"/>
          <w:bCs/>
        </w:rPr>
        <w:t>between the policies for England</w:t>
      </w:r>
      <w:r w:rsidR="005D5FB4" w:rsidRPr="002053A7">
        <w:rPr>
          <w:rFonts w:ascii="Arial" w:hAnsi="Arial" w:cs="Arial"/>
          <w:bCs/>
        </w:rPr>
        <w:t xml:space="preserve"> (based on “Evidence based indications for the use of PET-CT in the United Kingdom” 2016.RCR/RCP) and Wales CP50a (</w:t>
      </w:r>
      <w:proofErr w:type="spellStart"/>
      <w:r w:rsidR="005D5FB4" w:rsidRPr="002053A7">
        <w:rPr>
          <w:rFonts w:ascii="Arial" w:hAnsi="Arial" w:cs="Arial"/>
          <w:bCs/>
        </w:rPr>
        <w:t>ver</w:t>
      </w:r>
      <w:proofErr w:type="spellEnd"/>
      <w:r w:rsidR="005D5FB4" w:rsidRPr="002053A7">
        <w:rPr>
          <w:rFonts w:ascii="Arial" w:hAnsi="Arial" w:cs="Arial"/>
          <w:bCs/>
        </w:rPr>
        <w:t xml:space="preserve"> 6.3)</w:t>
      </w:r>
    </w:p>
    <w:p w:rsidR="005D5FB4" w:rsidRPr="002053A7" w:rsidRDefault="005D5FB4" w:rsidP="002053A7">
      <w:pPr>
        <w:spacing w:after="160" w:line="259" w:lineRule="auto"/>
        <w:jc w:val="both"/>
        <w:rPr>
          <w:rFonts w:ascii="Arial" w:hAnsi="Arial" w:cs="Arial"/>
          <w:bCs/>
          <w:color w:val="000000" w:themeColor="text1"/>
        </w:rPr>
      </w:pPr>
      <w:r w:rsidRPr="002053A7">
        <w:rPr>
          <w:rFonts w:ascii="Arial" w:hAnsi="Arial" w:cs="Arial"/>
          <w:bCs/>
          <w:color w:val="000000" w:themeColor="text1"/>
        </w:rPr>
        <w:t>This document assumes that the proposed version of the policy and its associated in</w:t>
      </w:r>
      <w:r w:rsidR="00264EFD" w:rsidRPr="002053A7">
        <w:rPr>
          <w:rFonts w:ascii="Arial" w:hAnsi="Arial" w:cs="Arial"/>
          <w:bCs/>
          <w:color w:val="000000" w:themeColor="text1"/>
        </w:rPr>
        <w:t>creased expenses will be agreed, funded and implemented.</w:t>
      </w:r>
    </w:p>
    <w:p w:rsidR="002053A7" w:rsidRDefault="002053A7">
      <w:pPr>
        <w:spacing w:after="160" w:line="259" w:lineRule="auto"/>
        <w:rPr>
          <w:rFonts w:ascii="Arial" w:hAnsi="Arial" w:cs="Arial"/>
          <w:b/>
          <w:bCs/>
          <w:color w:val="1F4E79"/>
        </w:rPr>
      </w:pPr>
    </w:p>
    <w:p w:rsidR="005D5FB4" w:rsidRPr="002053A7" w:rsidRDefault="005D5FB4">
      <w:pPr>
        <w:spacing w:after="160" w:line="259" w:lineRule="auto"/>
        <w:rPr>
          <w:rFonts w:ascii="Arial" w:hAnsi="Arial" w:cs="Arial"/>
          <w:b/>
          <w:bCs/>
          <w:color w:val="1F4E79"/>
        </w:rPr>
      </w:pPr>
      <w:r w:rsidRPr="002053A7">
        <w:rPr>
          <w:rFonts w:ascii="Arial" w:hAnsi="Arial" w:cs="Arial"/>
          <w:b/>
          <w:bCs/>
          <w:color w:val="1F4E79"/>
        </w:rPr>
        <w:t>Notes</w:t>
      </w:r>
    </w:p>
    <w:p w:rsidR="005D5FB4" w:rsidRPr="002053A7" w:rsidRDefault="005D5FB4" w:rsidP="002053A7">
      <w:pPr>
        <w:spacing w:after="160" w:line="259" w:lineRule="auto"/>
        <w:jc w:val="both"/>
        <w:rPr>
          <w:rFonts w:ascii="Arial" w:hAnsi="Arial" w:cs="Arial"/>
          <w:bCs/>
          <w:color w:val="000000" w:themeColor="text1"/>
        </w:rPr>
      </w:pPr>
      <w:r w:rsidRPr="002053A7">
        <w:rPr>
          <w:rFonts w:ascii="Arial" w:hAnsi="Arial" w:cs="Arial"/>
          <w:bCs/>
          <w:color w:val="000000" w:themeColor="text1"/>
        </w:rPr>
        <w:t>For each indication the Welsh policy is compared to the U</w:t>
      </w:r>
      <w:r w:rsidR="00264EFD" w:rsidRPr="002053A7">
        <w:rPr>
          <w:rFonts w:ascii="Arial" w:hAnsi="Arial" w:cs="Arial"/>
          <w:bCs/>
          <w:color w:val="000000" w:themeColor="text1"/>
        </w:rPr>
        <w:t>K</w:t>
      </w:r>
      <w:r w:rsidRPr="002053A7">
        <w:rPr>
          <w:rFonts w:ascii="Arial" w:hAnsi="Arial" w:cs="Arial"/>
          <w:bCs/>
          <w:color w:val="000000" w:themeColor="text1"/>
        </w:rPr>
        <w:t xml:space="preserve"> document wording. There are four possible </w:t>
      </w:r>
      <w:r w:rsidR="006D0023" w:rsidRPr="002053A7">
        <w:rPr>
          <w:rFonts w:ascii="Arial" w:hAnsi="Arial" w:cs="Arial"/>
          <w:bCs/>
          <w:color w:val="000000" w:themeColor="text1"/>
        </w:rPr>
        <w:t>categories</w:t>
      </w:r>
      <w:r w:rsidRPr="002053A7">
        <w:rPr>
          <w:rFonts w:ascii="Arial" w:hAnsi="Arial" w:cs="Arial"/>
          <w:bCs/>
          <w:color w:val="000000" w:themeColor="text1"/>
        </w:rPr>
        <w:t xml:space="preserve">: </w:t>
      </w:r>
      <w:r w:rsidRPr="002053A7">
        <w:rPr>
          <w:rFonts w:ascii="Arial" w:hAnsi="Arial" w:cs="Arial"/>
          <w:bCs/>
          <w:color w:val="000000" w:themeColor="text1"/>
          <w:highlight w:val="red"/>
        </w:rPr>
        <w:t>None</w:t>
      </w:r>
      <w:r w:rsidRPr="002053A7">
        <w:rPr>
          <w:rFonts w:ascii="Arial" w:hAnsi="Arial" w:cs="Arial"/>
          <w:bCs/>
          <w:color w:val="000000" w:themeColor="text1"/>
        </w:rPr>
        <w:t xml:space="preserve">, </w:t>
      </w:r>
      <w:r w:rsidRPr="002053A7">
        <w:rPr>
          <w:rFonts w:ascii="Arial" w:hAnsi="Arial" w:cs="Arial"/>
          <w:bCs/>
          <w:color w:val="000000" w:themeColor="text1"/>
          <w:shd w:val="clear" w:color="auto" w:fill="FFC000"/>
        </w:rPr>
        <w:t>some</w:t>
      </w:r>
      <w:r w:rsidRPr="002053A7">
        <w:rPr>
          <w:rFonts w:ascii="Arial" w:hAnsi="Arial" w:cs="Arial"/>
          <w:bCs/>
          <w:color w:val="000000" w:themeColor="text1"/>
          <w:shd w:val="clear" w:color="auto" w:fill="FFFF00"/>
        </w:rPr>
        <w:t>, most</w:t>
      </w:r>
      <w:r w:rsidRPr="002053A7">
        <w:rPr>
          <w:rFonts w:ascii="Arial" w:hAnsi="Arial" w:cs="Arial"/>
          <w:bCs/>
          <w:color w:val="000000" w:themeColor="text1"/>
        </w:rPr>
        <w:t xml:space="preserve">, </w:t>
      </w:r>
      <w:r w:rsidRPr="002053A7">
        <w:rPr>
          <w:rFonts w:ascii="Arial" w:hAnsi="Arial" w:cs="Arial"/>
          <w:bCs/>
          <w:color w:val="000000" w:themeColor="text1"/>
          <w:highlight w:val="green"/>
        </w:rPr>
        <w:t>covered.</w:t>
      </w:r>
      <w:r w:rsidRPr="002053A7">
        <w:rPr>
          <w:rFonts w:ascii="Arial" w:hAnsi="Arial" w:cs="Arial"/>
          <w:bCs/>
          <w:color w:val="000000" w:themeColor="text1"/>
        </w:rPr>
        <w:t xml:space="preserve"> These are broad categorisations and aim to give a rough guide as to how the policies compare. These are a best approximation of a comparison of the policies. </w:t>
      </w:r>
    </w:p>
    <w:p w:rsidR="005D5FB4" w:rsidRPr="002053A7" w:rsidRDefault="005D5FB4" w:rsidP="002053A7">
      <w:pPr>
        <w:spacing w:after="160" w:line="259" w:lineRule="auto"/>
        <w:jc w:val="both"/>
        <w:rPr>
          <w:rFonts w:ascii="Arial" w:hAnsi="Arial" w:cs="Arial"/>
          <w:bCs/>
        </w:rPr>
      </w:pPr>
      <w:r w:rsidRPr="002053A7">
        <w:rPr>
          <w:rFonts w:ascii="Arial" w:hAnsi="Arial" w:cs="Arial"/>
          <w:bCs/>
          <w:color w:val="000000" w:themeColor="text1"/>
        </w:rPr>
        <w:t>In a few cases there has been a recent expansion of the Welsh policy, but not enough quite to achieve as a category change. These have been marked by **.</w:t>
      </w:r>
      <w:r w:rsidRPr="002053A7">
        <w:rPr>
          <w:rFonts w:ascii="Arial" w:hAnsi="Arial" w:cs="Arial"/>
          <w:bCs/>
        </w:rPr>
        <w:t xml:space="preserve">An example of this is lymphoma </w:t>
      </w:r>
      <w:r w:rsidR="00264EFD" w:rsidRPr="002053A7">
        <w:rPr>
          <w:rFonts w:ascii="Arial" w:hAnsi="Arial" w:cs="Arial"/>
          <w:bCs/>
        </w:rPr>
        <w:t>for</w:t>
      </w:r>
      <w:r w:rsidRPr="002053A7">
        <w:rPr>
          <w:rFonts w:ascii="Arial" w:hAnsi="Arial" w:cs="Arial"/>
          <w:bCs/>
        </w:rPr>
        <w:t xml:space="preserve"> which there is now specific inclusion of mantle cell and follicular lymphoma, the </w:t>
      </w:r>
      <w:r w:rsidR="006D0023" w:rsidRPr="002053A7">
        <w:rPr>
          <w:rFonts w:ascii="Arial" w:hAnsi="Arial" w:cs="Arial"/>
          <w:bCs/>
        </w:rPr>
        <w:t>policy</w:t>
      </w:r>
      <w:r w:rsidRPr="002053A7">
        <w:rPr>
          <w:rFonts w:ascii="Arial" w:hAnsi="Arial" w:cs="Arial"/>
          <w:bCs/>
        </w:rPr>
        <w:t xml:space="preserve"> still does not however quite match the UK document. In particular in the </w:t>
      </w:r>
      <w:r w:rsidR="006D0023" w:rsidRPr="002053A7">
        <w:rPr>
          <w:rFonts w:ascii="Arial" w:hAnsi="Arial" w:cs="Arial"/>
          <w:bCs/>
        </w:rPr>
        <w:t>Welsh</w:t>
      </w:r>
      <w:r w:rsidRPr="002053A7">
        <w:rPr>
          <w:rFonts w:ascii="Arial" w:hAnsi="Arial" w:cs="Arial"/>
          <w:bCs/>
        </w:rPr>
        <w:t xml:space="preserve"> document interim assessments of </w:t>
      </w:r>
      <w:r w:rsidR="002053A7" w:rsidRPr="002053A7">
        <w:rPr>
          <w:rFonts w:ascii="Arial" w:hAnsi="Arial" w:cs="Arial"/>
          <w:bCs/>
        </w:rPr>
        <w:t>non-Hodgkin</w:t>
      </w:r>
      <w:r w:rsidRPr="002053A7">
        <w:rPr>
          <w:rFonts w:ascii="Arial" w:hAnsi="Arial" w:cs="Arial"/>
          <w:bCs/>
        </w:rPr>
        <w:t xml:space="preserve"> lymphoma are not </w:t>
      </w:r>
      <w:r w:rsidR="00264EFD" w:rsidRPr="002053A7">
        <w:rPr>
          <w:rFonts w:ascii="Arial" w:hAnsi="Arial" w:cs="Arial"/>
          <w:bCs/>
        </w:rPr>
        <w:t>included</w:t>
      </w:r>
      <w:r w:rsidRPr="002053A7">
        <w:rPr>
          <w:rFonts w:ascii="Arial" w:hAnsi="Arial" w:cs="Arial"/>
          <w:bCs/>
        </w:rPr>
        <w:t xml:space="preserve"> and this is still characterised as “most”.</w:t>
      </w:r>
    </w:p>
    <w:p w:rsidR="005D5FB4" w:rsidRPr="002053A7" w:rsidRDefault="005D5FB4" w:rsidP="002053A7">
      <w:pPr>
        <w:spacing w:after="160" w:line="259" w:lineRule="auto"/>
        <w:jc w:val="both"/>
        <w:rPr>
          <w:rFonts w:ascii="Arial" w:hAnsi="Arial" w:cs="Arial"/>
          <w:bCs/>
        </w:rPr>
      </w:pPr>
      <w:r w:rsidRPr="002053A7">
        <w:rPr>
          <w:rFonts w:ascii="Arial" w:hAnsi="Arial" w:cs="Arial"/>
          <w:bCs/>
        </w:rPr>
        <w:t xml:space="preserve">It is also worth noting that </w:t>
      </w:r>
      <w:r w:rsidR="006D0023" w:rsidRPr="002053A7">
        <w:rPr>
          <w:rFonts w:ascii="Arial" w:hAnsi="Arial" w:cs="Arial"/>
          <w:bCs/>
        </w:rPr>
        <w:t>where</w:t>
      </w:r>
      <w:r w:rsidRPr="002053A7">
        <w:rPr>
          <w:rFonts w:ascii="Arial" w:hAnsi="Arial" w:cs="Arial"/>
          <w:bCs/>
        </w:rPr>
        <w:t xml:space="preserve"> “none” appears on the table this does not mean that there is no access at all, teams can still </w:t>
      </w:r>
      <w:r w:rsidR="006D0023" w:rsidRPr="002053A7">
        <w:rPr>
          <w:rFonts w:ascii="Arial" w:hAnsi="Arial" w:cs="Arial"/>
          <w:bCs/>
        </w:rPr>
        <w:t>apply</w:t>
      </w:r>
      <w:r w:rsidRPr="002053A7">
        <w:rPr>
          <w:rFonts w:ascii="Arial" w:hAnsi="Arial" w:cs="Arial"/>
          <w:bCs/>
        </w:rPr>
        <w:t xml:space="preserve"> for IPFR f</w:t>
      </w:r>
      <w:r w:rsidR="002053A7">
        <w:rPr>
          <w:rFonts w:ascii="Arial" w:hAnsi="Arial" w:cs="Arial"/>
          <w:bCs/>
        </w:rPr>
        <w:t>unding for these investigations.</w:t>
      </w:r>
    </w:p>
    <w:p w:rsidR="005D5FB4" w:rsidRPr="006D0023" w:rsidRDefault="005D5FB4">
      <w:pPr>
        <w:spacing w:after="160" w:line="259" w:lineRule="auto"/>
        <w:rPr>
          <w:rFonts w:ascii="Times New Roman" w:hAnsi="Times New Roman" w:cs="Times New Roman"/>
          <w:b/>
          <w:bCs/>
          <w:sz w:val="24"/>
          <w:szCs w:val="24"/>
          <w:u w:val="single"/>
        </w:rPr>
      </w:pPr>
    </w:p>
    <w:p w:rsidR="005D5FB4" w:rsidRPr="002053A7" w:rsidRDefault="005D5FB4">
      <w:pPr>
        <w:spacing w:after="160" w:line="259" w:lineRule="auto"/>
        <w:rPr>
          <w:rFonts w:ascii="Arial" w:hAnsi="Arial" w:cs="Arial"/>
          <w:b/>
          <w:bCs/>
          <w:color w:val="1F4E79"/>
        </w:rPr>
      </w:pPr>
      <w:r w:rsidRPr="002053A7">
        <w:rPr>
          <w:rFonts w:ascii="Arial" w:hAnsi="Arial" w:cs="Arial"/>
          <w:b/>
          <w:bCs/>
          <w:color w:val="1F4E79"/>
        </w:rPr>
        <w:t>Need to address</w:t>
      </w:r>
    </w:p>
    <w:p w:rsidR="00264EFD" w:rsidRPr="002053A7" w:rsidRDefault="005D5FB4" w:rsidP="002053A7">
      <w:pPr>
        <w:spacing w:after="160" w:line="259" w:lineRule="auto"/>
        <w:jc w:val="both"/>
        <w:rPr>
          <w:rFonts w:ascii="Arial" w:hAnsi="Arial" w:cs="Arial"/>
          <w:bCs/>
        </w:rPr>
      </w:pPr>
      <w:r w:rsidRPr="002053A7">
        <w:rPr>
          <w:rFonts w:ascii="Arial" w:hAnsi="Arial" w:cs="Arial"/>
          <w:bCs/>
        </w:rPr>
        <w:t xml:space="preserve">The author has also a suggested a few areas that going forward, the </w:t>
      </w:r>
      <w:r w:rsidR="00264EFD" w:rsidRPr="002053A7">
        <w:rPr>
          <w:rFonts w:ascii="Arial" w:hAnsi="Arial" w:cs="Arial"/>
          <w:bCs/>
        </w:rPr>
        <w:t>AWPET</w:t>
      </w:r>
      <w:r w:rsidRPr="002053A7">
        <w:rPr>
          <w:rFonts w:ascii="Arial" w:hAnsi="Arial" w:cs="Arial"/>
          <w:bCs/>
        </w:rPr>
        <w:t xml:space="preserve"> might want to address. (1) At the moment there is no formal policy or cover for testicular tumours, some of these are done under the “other” category, but perhaps this could be formalised</w:t>
      </w:r>
      <w:r w:rsidR="00264EFD" w:rsidRPr="002053A7">
        <w:rPr>
          <w:rFonts w:ascii="Arial" w:hAnsi="Arial" w:cs="Arial"/>
          <w:bCs/>
        </w:rPr>
        <w:t>?</w:t>
      </w:r>
      <w:r w:rsidR="002053A7">
        <w:rPr>
          <w:rFonts w:ascii="Arial" w:hAnsi="Arial" w:cs="Arial"/>
          <w:bCs/>
        </w:rPr>
        <w:t xml:space="preserve"> </w:t>
      </w:r>
      <w:r w:rsidRPr="002053A7">
        <w:rPr>
          <w:rFonts w:ascii="Arial" w:hAnsi="Arial" w:cs="Arial"/>
          <w:bCs/>
        </w:rPr>
        <w:t xml:space="preserve">Similarly </w:t>
      </w:r>
      <w:r w:rsidR="00264EFD" w:rsidRPr="002053A7">
        <w:rPr>
          <w:rFonts w:ascii="Arial" w:hAnsi="Arial" w:cs="Arial"/>
          <w:bCs/>
        </w:rPr>
        <w:t>t</w:t>
      </w:r>
      <w:r w:rsidR="006D0023" w:rsidRPr="002053A7">
        <w:rPr>
          <w:rFonts w:ascii="Arial" w:hAnsi="Arial" w:cs="Arial"/>
          <w:bCs/>
        </w:rPr>
        <w:t>here is no specific category/ commissioning policy for skin malignancies especially melanoma and again this is perhaps something to address in the future. From personal communications there is an ongoing perception of under</w:t>
      </w:r>
      <w:r w:rsidR="00264EFD" w:rsidRPr="002053A7">
        <w:rPr>
          <w:rFonts w:ascii="Arial" w:hAnsi="Arial" w:cs="Arial"/>
          <w:bCs/>
        </w:rPr>
        <w:t xml:space="preserve"> provision</w:t>
      </w:r>
      <w:r w:rsidR="006D0023" w:rsidRPr="002053A7">
        <w:rPr>
          <w:rFonts w:ascii="Arial" w:hAnsi="Arial" w:cs="Arial"/>
          <w:bCs/>
        </w:rPr>
        <w:t xml:space="preserve"> of </w:t>
      </w:r>
      <w:r w:rsidR="00264EFD" w:rsidRPr="002053A7">
        <w:rPr>
          <w:rFonts w:ascii="Arial" w:hAnsi="Arial" w:cs="Arial"/>
          <w:bCs/>
        </w:rPr>
        <w:t>imaging</w:t>
      </w:r>
      <w:r w:rsidR="006D0023" w:rsidRPr="002053A7">
        <w:rPr>
          <w:rFonts w:ascii="Arial" w:hAnsi="Arial" w:cs="Arial"/>
          <w:bCs/>
        </w:rPr>
        <w:t xml:space="preserve"> for Myeloma, both WB MRI and FDG PET. (3) Ideally this again needs to be </w:t>
      </w:r>
      <w:r w:rsidR="00264EFD" w:rsidRPr="002053A7">
        <w:rPr>
          <w:rFonts w:ascii="Arial" w:hAnsi="Arial" w:cs="Arial"/>
          <w:bCs/>
        </w:rPr>
        <w:t>addressed. Finally (4) there are early indications that disease modifying drugs in Alzheimer’s disease may become available. These are likely to require amyloid imaging as a prerequisite prior to therapy. If approved/ funded this may lead to a need for commissioning of more FDG brain scans and amyloid brain PET scans.</w:t>
      </w:r>
    </w:p>
    <w:p w:rsidR="00264EFD" w:rsidRPr="002053A7" w:rsidRDefault="00264EFD">
      <w:pPr>
        <w:spacing w:after="160" w:line="259" w:lineRule="auto"/>
        <w:rPr>
          <w:rFonts w:ascii="Arial" w:hAnsi="Arial" w:cs="Arial"/>
          <w:bCs/>
        </w:rPr>
      </w:pPr>
    </w:p>
    <w:p w:rsidR="00264EFD" w:rsidRDefault="00264EFD">
      <w:pPr>
        <w:spacing w:after="160" w:line="259" w:lineRule="auto"/>
        <w:rPr>
          <w:rFonts w:ascii="Times New Roman" w:hAnsi="Times New Roman" w:cs="Times New Roman"/>
          <w:bCs/>
          <w:sz w:val="24"/>
          <w:szCs w:val="24"/>
        </w:rPr>
      </w:pPr>
      <w:r>
        <w:rPr>
          <w:rFonts w:ascii="Times New Roman" w:hAnsi="Times New Roman" w:cs="Times New Roman"/>
          <w:bCs/>
          <w:sz w:val="24"/>
          <w:szCs w:val="24"/>
        </w:rPr>
        <w:br w:type="page"/>
      </w:r>
    </w:p>
    <w:p w:rsidR="002441F5" w:rsidRPr="002053A7" w:rsidRDefault="002053A7" w:rsidP="002441F5">
      <w:pPr>
        <w:rPr>
          <w:rFonts w:ascii="Arial" w:hAnsi="Arial" w:cs="Arial"/>
          <w:color w:val="1F4E79"/>
          <w:sz w:val="28"/>
          <w:szCs w:val="28"/>
        </w:rPr>
      </w:pPr>
      <w:r>
        <w:rPr>
          <w:rFonts w:ascii="Arial" w:hAnsi="Arial" w:cs="Arial"/>
          <w:b/>
          <w:bCs/>
          <w:color w:val="1F4E79"/>
          <w:sz w:val="28"/>
          <w:szCs w:val="28"/>
        </w:rPr>
        <w:lastRenderedPageBreak/>
        <w:t>A -</w:t>
      </w:r>
      <w:r w:rsidR="002441F5" w:rsidRPr="002053A7">
        <w:rPr>
          <w:rFonts w:ascii="Arial" w:hAnsi="Arial" w:cs="Arial"/>
          <w:b/>
          <w:bCs/>
          <w:color w:val="1F4E79"/>
          <w:sz w:val="28"/>
          <w:szCs w:val="28"/>
        </w:rPr>
        <w:t xml:space="preserve"> At a glance comparison of UK PET commissioning</w:t>
      </w:r>
    </w:p>
    <w:tbl>
      <w:tblPr>
        <w:tblW w:w="9555" w:type="dxa"/>
        <w:tblLayout w:type="fixed"/>
        <w:tblLook w:val="04A0" w:firstRow="1" w:lastRow="0" w:firstColumn="1" w:lastColumn="0" w:noHBand="0" w:noVBand="1"/>
      </w:tblPr>
      <w:tblGrid>
        <w:gridCol w:w="1129"/>
        <w:gridCol w:w="1580"/>
        <w:gridCol w:w="1034"/>
        <w:gridCol w:w="1163"/>
        <w:gridCol w:w="1163"/>
        <w:gridCol w:w="1162"/>
        <w:gridCol w:w="1162"/>
        <w:gridCol w:w="1162"/>
      </w:tblGrid>
      <w:tr w:rsidR="009B14CA" w:rsidRPr="00217BAA" w:rsidTr="00217BAA">
        <w:trPr>
          <w:cantSplit/>
          <w:trHeight w:val="20"/>
        </w:trPr>
        <w:tc>
          <w:tcPr>
            <w:tcW w:w="1129" w:type="dxa"/>
            <w:tcBorders>
              <w:top w:val="single" w:sz="4" w:space="0" w:color="auto"/>
              <w:left w:val="single" w:sz="4" w:space="0" w:color="auto"/>
              <w:bottom w:val="single" w:sz="4" w:space="0" w:color="auto"/>
              <w:right w:val="single" w:sz="4" w:space="0" w:color="auto"/>
            </w:tcBorders>
            <w:shd w:val="clear" w:color="auto" w:fill="002060"/>
            <w:noWrap/>
            <w:vAlign w:val="bottom"/>
            <w:hideMark/>
          </w:tcPr>
          <w:p w:rsidR="009B14CA" w:rsidRPr="00217BAA" w:rsidRDefault="009B14CA" w:rsidP="000E740E">
            <w:pPr>
              <w:spacing w:after="0" w:line="240" w:lineRule="auto"/>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 </w:t>
            </w:r>
          </w:p>
        </w:tc>
        <w:tc>
          <w:tcPr>
            <w:tcW w:w="1580" w:type="dxa"/>
            <w:tcBorders>
              <w:top w:val="single" w:sz="4" w:space="0" w:color="auto"/>
              <w:left w:val="nil"/>
              <w:bottom w:val="single" w:sz="4" w:space="0" w:color="auto"/>
              <w:right w:val="single" w:sz="4" w:space="0" w:color="auto"/>
            </w:tcBorders>
            <w:shd w:val="clear" w:color="auto" w:fill="002060"/>
            <w:noWrap/>
            <w:vAlign w:val="bottom"/>
            <w:hideMark/>
          </w:tcPr>
          <w:p w:rsidR="009B14CA" w:rsidRPr="00217BAA" w:rsidRDefault="009B14CA" w:rsidP="000E740E">
            <w:pPr>
              <w:spacing w:after="0" w:line="240" w:lineRule="auto"/>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 </w:t>
            </w:r>
          </w:p>
        </w:tc>
        <w:tc>
          <w:tcPr>
            <w:tcW w:w="1034" w:type="dxa"/>
            <w:tcBorders>
              <w:top w:val="single" w:sz="4" w:space="0" w:color="auto"/>
              <w:left w:val="nil"/>
              <w:bottom w:val="single" w:sz="4" w:space="0" w:color="auto"/>
              <w:right w:val="single" w:sz="4" w:space="0" w:color="auto"/>
            </w:tcBorders>
            <w:shd w:val="clear" w:color="auto" w:fill="002060"/>
            <w:noWrap/>
            <w:vAlign w:val="bottom"/>
            <w:hideMark/>
          </w:tcPr>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England</w:t>
            </w:r>
          </w:p>
        </w:tc>
        <w:tc>
          <w:tcPr>
            <w:tcW w:w="1163" w:type="dxa"/>
            <w:tcBorders>
              <w:top w:val="single" w:sz="4" w:space="0" w:color="auto"/>
              <w:left w:val="nil"/>
              <w:bottom w:val="single" w:sz="4" w:space="0" w:color="auto"/>
              <w:right w:val="single" w:sz="4" w:space="0" w:color="auto"/>
            </w:tcBorders>
            <w:shd w:val="clear" w:color="auto" w:fill="002060"/>
            <w:noWrap/>
            <w:vAlign w:val="bottom"/>
            <w:hideMark/>
          </w:tcPr>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Wales (2016)</w:t>
            </w:r>
          </w:p>
        </w:tc>
        <w:tc>
          <w:tcPr>
            <w:tcW w:w="1163" w:type="dxa"/>
            <w:tcBorders>
              <w:top w:val="single" w:sz="4" w:space="0" w:color="auto"/>
              <w:left w:val="nil"/>
              <w:bottom w:val="single" w:sz="4" w:space="0" w:color="auto"/>
              <w:right w:val="single" w:sz="4" w:space="0" w:color="auto"/>
            </w:tcBorders>
            <w:shd w:val="clear" w:color="auto" w:fill="002060"/>
            <w:vAlign w:val="bottom"/>
          </w:tcPr>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Wales (2018)</w:t>
            </w:r>
          </w:p>
        </w:tc>
        <w:tc>
          <w:tcPr>
            <w:tcW w:w="1162" w:type="dxa"/>
            <w:tcBorders>
              <w:top w:val="single" w:sz="4" w:space="0" w:color="auto"/>
              <w:left w:val="nil"/>
              <w:bottom w:val="single" w:sz="4" w:space="0" w:color="auto"/>
              <w:right w:val="single" w:sz="4" w:space="0" w:color="auto"/>
            </w:tcBorders>
            <w:shd w:val="clear" w:color="auto" w:fill="002060"/>
          </w:tcPr>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Wales (2020)</w:t>
            </w:r>
          </w:p>
        </w:tc>
        <w:tc>
          <w:tcPr>
            <w:tcW w:w="1162" w:type="dxa"/>
            <w:tcBorders>
              <w:top w:val="single" w:sz="4" w:space="0" w:color="auto"/>
              <w:left w:val="nil"/>
              <w:bottom w:val="single" w:sz="4" w:space="0" w:color="auto"/>
              <w:right w:val="single" w:sz="4" w:space="0" w:color="auto"/>
            </w:tcBorders>
            <w:shd w:val="clear" w:color="auto" w:fill="002060"/>
          </w:tcPr>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 xml:space="preserve">Wales </w:t>
            </w:r>
          </w:p>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(2021)</w:t>
            </w:r>
          </w:p>
        </w:tc>
        <w:tc>
          <w:tcPr>
            <w:tcW w:w="1162" w:type="dxa"/>
            <w:tcBorders>
              <w:top w:val="single" w:sz="4" w:space="0" w:color="auto"/>
              <w:left w:val="nil"/>
              <w:bottom w:val="single" w:sz="4" w:space="0" w:color="auto"/>
              <w:right w:val="single" w:sz="4" w:space="0" w:color="auto"/>
            </w:tcBorders>
            <w:shd w:val="clear" w:color="auto" w:fill="002060"/>
          </w:tcPr>
          <w:p w:rsidR="009B14CA" w:rsidRPr="00217BAA" w:rsidRDefault="009B14CA" w:rsidP="000E740E">
            <w:pPr>
              <w:spacing w:after="0" w:line="240" w:lineRule="auto"/>
              <w:jc w:val="center"/>
              <w:rPr>
                <w:rFonts w:eastAsia="Times New Roman" w:cstheme="minorHAnsi"/>
                <w:b/>
                <w:color w:val="FFFFFF" w:themeColor="background1"/>
                <w:sz w:val="20"/>
                <w:szCs w:val="20"/>
                <w:lang w:eastAsia="en-GB"/>
              </w:rPr>
            </w:pPr>
            <w:r w:rsidRPr="00217BAA">
              <w:rPr>
                <w:rFonts w:eastAsia="Times New Roman" w:cstheme="minorHAnsi"/>
                <w:b/>
                <w:color w:val="FFFFFF" w:themeColor="background1"/>
                <w:sz w:val="20"/>
                <w:szCs w:val="20"/>
                <w:lang w:eastAsia="en-GB"/>
              </w:rPr>
              <w:t>Need to address</w:t>
            </w:r>
          </w:p>
        </w:tc>
      </w:tr>
      <w:tr w:rsidR="00217BAA" w:rsidRPr="00217BAA" w:rsidTr="00217BAA">
        <w:trPr>
          <w:cantSplit/>
          <w:trHeight w:val="20"/>
        </w:trPr>
        <w:tc>
          <w:tcPr>
            <w:tcW w:w="1129" w:type="dxa"/>
            <w:vMerge w:val="restart"/>
            <w:tcBorders>
              <w:top w:val="nil"/>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jc w:val="both"/>
              <w:rPr>
                <w:rFonts w:eastAsia="Times New Roman" w:cstheme="minorHAnsi"/>
                <w:b/>
                <w:color w:val="000000"/>
                <w:lang w:eastAsia="en-GB"/>
              </w:rPr>
            </w:pPr>
            <w:r w:rsidRPr="00217BAA">
              <w:rPr>
                <w:rFonts w:eastAsia="Times New Roman" w:cstheme="minorHAnsi"/>
                <w:b/>
                <w:color w:val="000000"/>
                <w:lang w:eastAsia="en-GB"/>
              </w:rPr>
              <w:t>FDG Oncology</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jc w:val="both"/>
              <w:rPr>
                <w:rFonts w:eastAsia="Times New Roman" w:cstheme="minorHAnsi"/>
                <w:color w:val="000000"/>
                <w:sz w:val="16"/>
                <w:szCs w:val="16"/>
                <w:lang w:eastAsia="en-GB"/>
              </w:rPr>
            </w:pPr>
            <w:r w:rsidRPr="00217BAA">
              <w:rPr>
                <w:rFonts w:eastAsia="Times New Roman" w:cstheme="minorHAnsi"/>
                <w:color w:val="000000"/>
                <w:sz w:val="16"/>
                <w:szCs w:val="16"/>
                <w:lang w:eastAsia="en-GB"/>
              </w:rPr>
              <w:t>Brain</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highlight w:val="red"/>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Head and Neck</w:t>
            </w:r>
          </w:p>
        </w:tc>
        <w:tc>
          <w:tcPr>
            <w:tcW w:w="1034" w:type="dxa"/>
            <w:tcBorders>
              <w:top w:val="nil"/>
              <w:left w:val="nil"/>
              <w:bottom w:val="single" w:sz="4" w:space="0" w:color="auto"/>
              <w:right w:val="single" w:sz="4" w:space="0" w:color="auto"/>
            </w:tcBorders>
            <w:shd w:val="clear" w:color="000000" w:fill="92D050"/>
            <w:noWrap/>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Thyroid</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Lung</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Pleura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Thymus</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proofErr w:type="spellStart"/>
            <w:r w:rsidRPr="00217BAA">
              <w:rPr>
                <w:rFonts w:eastAsia="Times New Roman" w:cstheme="minorHAnsi"/>
                <w:color w:val="000000"/>
                <w:sz w:val="16"/>
                <w:szCs w:val="16"/>
                <w:lang w:eastAsia="en-GB"/>
              </w:rPr>
              <w:t>Oesophagogastric</w:t>
            </w:r>
            <w:proofErr w:type="spellEnd"/>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FF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GIST</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themeColor="text1"/>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themeColor="text1"/>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Breast</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HPB</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Colorectal</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FF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Urology</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ED7D31" w:themeFill="accent2"/>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Gynaecology</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FFFF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Testicular</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9B14CA">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(1)</w:t>
            </w: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Anal and penile</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Lymphoma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FF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 **</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M</w:t>
            </w:r>
            <w:r w:rsidRPr="00217BAA">
              <w:rPr>
                <w:rFonts w:eastAsia="Times New Roman" w:cstheme="minorHAnsi"/>
                <w:color w:val="000000"/>
                <w:sz w:val="16"/>
                <w:szCs w:val="16"/>
                <w:lang w:eastAsia="en-GB"/>
              </w:rPr>
              <w:t>yeloma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(3)</w:t>
            </w: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S</w:t>
            </w:r>
            <w:r w:rsidRPr="00217BAA">
              <w:rPr>
                <w:rFonts w:eastAsia="Times New Roman" w:cstheme="minorHAnsi"/>
                <w:color w:val="000000"/>
                <w:sz w:val="16"/>
                <w:szCs w:val="16"/>
                <w:lang w:eastAsia="en-GB"/>
              </w:rPr>
              <w:t>kin</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(2)</w:t>
            </w: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Musculoskeletal</w:t>
            </w:r>
          </w:p>
        </w:tc>
        <w:tc>
          <w:tcPr>
            <w:tcW w:w="1034" w:type="dxa"/>
            <w:tcBorders>
              <w:top w:val="nil"/>
              <w:left w:val="nil"/>
              <w:bottom w:val="single" w:sz="4" w:space="0" w:color="auto"/>
              <w:right w:val="single" w:sz="4" w:space="0" w:color="auto"/>
            </w:tcBorders>
            <w:shd w:val="clear" w:color="000000" w:fill="92D050"/>
            <w:noWrap/>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highlight w:val="yellow"/>
                <w:lang w:eastAsia="en-GB"/>
              </w:rPr>
            </w:pPr>
            <w:r w:rsidRPr="00217BAA">
              <w:rPr>
                <w:rFonts w:eastAsia="Times New Roman" w:cstheme="minorHAnsi"/>
                <w:color w:val="000000"/>
                <w:sz w:val="16"/>
                <w:szCs w:val="16"/>
                <w:highlight w:val="yellow"/>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highlight w:val="yellow"/>
                <w:lang w:eastAsia="en-GB"/>
              </w:rPr>
            </w:pPr>
            <w:r w:rsidRPr="00217BAA">
              <w:rPr>
                <w:rFonts w:eastAsia="Times New Roman" w:cstheme="minorHAnsi"/>
                <w:color w:val="000000"/>
                <w:sz w:val="16"/>
                <w:szCs w:val="16"/>
                <w:highlight w:val="yellow"/>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highlight w:val="yellow"/>
                <w:lang w:eastAsia="en-GB"/>
              </w:rPr>
            </w:pPr>
            <w:r w:rsidRPr="00217BAA">
              <w:rPr>
                <w:rFonts w:eastAsia="Times New Roman" w:cstheme="minorHAnsi"/>
                <w:color w:val="000000"/>
                <w:sz w:val="16"/>
                <w:szCs w:val="16"/>
                <w:highlight w:val="yellow"/>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highlight w:val="yellow"/>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P</w:t>
            </w:r>
            <w:r w:rsidRPr="00217BAA">
              <w:rPr>
                <w:rFonts w:eastAsia="Times New Roman" w:cstheme="minorHAnsi"/>
                <w:color w:val="000000"/>
                <w:sz w:val="16"/>
                <w:szCs w:val="16"/>
                <w:lang w:eastAsia="en-GB"/>
              </w:rPr>
              <w:t>araneoplastic</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Carcinoma unknown primary</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N</w:t>
            </w:r>
            <w:r w:rsidRPr="00217BAA">
              <w:rPr>
                <w:rFonts w:eastAsia="Times New Roman" w:cstheme="minorHAnsi"/>
                <w:color w:val="000000"/>
                <w:sz w:val="16"/>
                <w:szCs w:val="16"/>
                <w:lang w:eastAsia="en-GB"/>
              </w:rPr>
              <w:t>euroendocrine</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R</w:t>
            </w:r>
            <w:r w:rsidRPr="00217BAA">
              <w:rPr>
                <w:rFonts w:eastAsia="Times New Roman" w:cstheme="minorHAnsi"/>
                <w:color w:val="000000"/>
                <w:sz w:val="16"/>
                <w:szCs w:val="16"/>
                <w:lang w:eastAsia="en-GB"/>
              </w:rPr>
              <w:t>are childhood</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Pr>
                <w:rFonts w:eastAsia="Times New Roman" w:cstheme="minorHAnsi"/>
                <w:color w:val="000000"/>
                <w:sz w:val="16"/>
                <w:szCs w:val="16"/>
                <w:lang w:eastAsia="en-GB"/>
              </w:rPr>
              <w:t>M</w:t>
            </w:r>
            <w:r w:rsidRPr="00217BAA">
              <w:rPr>
                <w:rFonts w:eastAsia="Times New Roman" w:cstheme="minorHAnsi"/>
                <w:color w:val="000000"/>
                <w:sz w:val="16"/>
                <w:szCs w:val="16"/>
                <w:lang w:eastAsia="en-GB"/>
              </w:rPr>
              <w:t>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Pr>
                <w:rFonts w:eastAsia="Times New Roman" w:cstheme="minorHAnsi"/>
                <w:color w:val="000000"/>
                <w:sz w:val="16"/>
                <w:szCs w:val="16"/>
                <w:lang w:eastAsia="en-GB"/>
              </w:rPr>
              <w:t>M</w:t>
            </w:r>
            <w:r w:rsidRPr="00217BAA">
              <w:rPr>
                <w:rFonts w:eastAsia="Times New Roman" w:cstheme="minorHAnsi"/>
                <w:color w:val="000000"/>
                <w:sz w:val="16"/>
                <w:szCs w:val="16"/>
                <w:lang w:eastAsia="en-GB"/>
              </w:rPr>
              <w:t>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bottom w:val="single" w:sz="4" w:space="0" w:color="auto"/>
              <w:right w:val="single" w:sz="4" w:space="0" w:color="auto"/>
            </w:tcBorders>
            <w:shd w:val="clear" w:color="auto" w:fill="D9D9D9" w:themeFill="background1" w:themeFillShade="D9"/>
            <w:noWrap/>
            <w:vAlign w:val="bottom"/>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Pre SABR</w:t>
            </w:r>
          </w:p>
        </w:tc>
        <w:tc>
          <w:tcPr>
            <w:tcW w:w="1034" w:type="dxa"/>
            <w:tcBorders>
              <w:top w:val="nil"/>
              <w:left w:val="nil"/>
              <w:bottom w:val="single" w:sz="4" w:space="0" w:color="auto"/>
              <w:right w:val="single" w:sz="4" w:space="0" w:color="auto"/>
            </w:tcBorders>
            <w:shd w:val="clear" w:color="auto" w:fill="FF0000"/>
            <w:noWrap/>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Not specifically covered</w:t>
            </w:r>
          </w:p>
        </w:tc>
        <w:tc>
          <w:tcPr>
            <w:tcW w:w="1163" w:type="dxa"/>
            <w:tcBorders>
              <w:top w:val="nil"/>
              <w:left w:val="nil"/>
              <w:bottom w:val="single" w:sz="4" w:space="0" w:color="auto"/>
              <w:right w:val="single" w:sz="4" w:space="0" w:color="auto"/>
            </w:tcBorders>
            <w:shd w:val="clear" w:color="000000" w:fill="FF0000"/>
            <w:noWrap/>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val="restart"/>
            <w:tcBorders>
              <w:top w:val="nil"/>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Non oncology FDG</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N</w:t>
            </w:r>
            <w:r w:rsidRPr="00217BAA">
              <w:rPr>
                <w:rFonts w:eastAsia="Times New Roman" w:cstheme="minorHAnsi"/>
                <w:color w:val="000000"/>
                <w:sz w:val="16"/>
                <w:szCs w:val="16"/>
                <w:lang w:eastAsia="en-GB"/>
              </w:rPr>
              <w:t>eurology</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(4)</w:t>
            </w: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C</w:t>
            </w:r>
            <w:r w:rsidRPr="00217BAA">
              <w:rPr>
                <w:rFonts w:eastAsia="Times New Roman" w:cstheme="minorHAnsi"/>
                <w:color w:val="000000"/>
                <w:sz w:val="16"/>
                <w:szCs w:val="16"/>
                <w:lang w:eastAsia="en-GB"/>
              </w:rPr>
              <w:t>ardiology</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C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V</w:t>
            </w:r>
            <w:r w:rsidRPr="00217BAA">
              <w:rPr>
                <w:rFonts w:eastAsia="Times New Roman" w:cstheme="minorHAnsi"/>
                <w:color w:val="000000"/>
                <w:sz w:val="16"/>
                <w:szCs w:val="16"/>
                <w:lang w:eastAsia="en-GB"/>
              </w:rPr>
              <w:t>asculitis</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S</w:t>
            </w:r>
            <w:r w:rsidRPr="00217BAA">
              <w:rPr>
                <w:rFonts w:eastAsia="Times New Roman" w:cstheme="minorHAnsi"/>
                <w:color w:val="000000"/>
                <w:sz w:val="16"/>
                <w:szCs w:val="16"/>
                <w:lang w:eastAsia="en-GB"/>
              </w:rPr>
              <w:t>arcoid</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0C0787">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I</w:t>
            </w:r>
            <w:r w:rsidRPr="00217BAA">
              <w:rPr>
                <w:rFonts w:eastAsia="Times New Roman" w:cstheme="minorHAnsi"/>
                <w:color w:val="000000"/>
                <w:sz w:val="16"/>
                <w:szCs w:val="16"/>
                <w:lang w:eastAsia="en-GB"/>
              </w:rPr>
              <w:t>nfection</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0C0787">
        <w:trPr>
          <w:cantSplit/>
          <w:trHeight w:val="20"/>
        </w:trPr>
        <w:tc>
          <w:tcPr>
            <w:tcW w:w="1129" w:type="dxa"/>
            <w:vMerge/>
            <w:tcBorders>
              <w:left w:val="single" w:sz="4" w:space="0" w:color="auto"/>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PUO</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val="restart"/>
            <w:tcBorders>
              <w:top w:val="nil"/>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Non FDG</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p w:rsidR="00217BAA" w:rsidRPr="00217BAA" w:rsidRDefault="00217BAA" w:rsidP="000E740E">
            <w:pPr>
              <w:spacing w:after="0" w:line="240" w:lineRule="auto"/>
              <w:rPr>
                <w:rFonts w:eastAsia="Times New Roman" w:cstheme="minorHAnsi"/>
                <w:b/>
                <w:color w:val="000000"/>
                <w:lang w:eastAsia="en-GB"/>
              </w:rPr>
            </w:pPr>
            <w:r w:rsidRPr="00217BAA">
              <w:rPr>
                <w:rFonts w:eastAsia="Times New Roman" w:cstheme="minorHAnsi"/>
                <w:b/>
                <w:color w:val="000000"/>
                <w:lang w:eastAsia="en-GB"/>
              </w:rPr>
              <w:t> </w:t>
            </w: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Pr>
                <w:rFonts w:eastAsia="Times New Roman" w:cstheme="minorHAnsi"/>
                <w:color w:val="000000"/>
                <w:sz w:val="16"/>
                <w:szCs w:val="16"/>
                <w:lang w:eastAsia="en-GB"/>
              </w:rPr>
              <w:t>M</w:t>
            </w:r>
            <w:r w:rsidRPr="00217BAA">
              <w:rPr>
                <w:rFonts w:eastAsia="Times New Roman" w:cstheme="minorHAnsi"/>
                <w:color w:val="000000"/>
                <w:sz w:val="16"/>
                <w:szCs w:val="16"/>
                <w:lang w:eastAsia="en-GB"/>
              </w:rPr>
              <w:t>ethionine/ FET</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Ammonia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Nome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Choline/ PSMA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C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Some</w:t>
            </w:r>
          </w:p>
        </w:tc>
        <w:tc>
          <w:tcPr>
            <w:tcW w:w="1162"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11 C Acetate</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Ga 68 DOTA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auto" w:fill="FFFF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3" w:type="dxa"/>
            <w:tcBorders>
              <w:top w:val="single" w:sz="4" w:space="0" w:color="auto"/>
              <w:left w:val="nil"/>
              <w:bottom w:val="single" w:sz="4" w:space="0" w:color="auto"/>
              <w:right w:val="single" w:sz="4" w:space="0" w:color="auto"/>
            </w:tcBorders>
            <w:shd w:val="clear" w:color="auto" w:fill="FFFF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Most</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92D05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F-DOPA</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20"/>
        </w:trPr>
        <w:tc>
          <w:tcPr>
            <w:tcW w:w="1129" w:type="dxa"/>
            <w:vMerge/>
            <w:tcBorders>
              <w:left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bottom"/>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18 F Fluoride</w:t>
            </w:r>
          </w:p>
        </w:tc>
        <w:tc>
          <w:tcPr>
            <w:tcW w:w="1034" w:type="dxa"/>
            <w:tcBorders>
              <w:top w:val="nil"/>
              <w:left w:val="nil"/>
              <w:bottom w:val="single" w:sz="4" w:space="0" w:color="auto"/>
              <w:right w:val="single" w:sz="4" w:space="0" w:color="auto"/>
            </w:tcBorders>
            <w:shd w:val="clear" w:color="000000" w:fill="92D05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Covered</w:t>
            </w:r>
          </w:p>
        </w:tc>
        <w:tc>
          <w:tcPr>
            <w:tcW w:w="1163" w:type="dxa"/>
            <w:tcBorders>
              <w:top w:val="nil"/>
              <w:left w:val="nil"/>
              <w:bottom w:val="single" w:sz="4" w:space="0" w:color="auto"/>
              <w:right w:val="single" w:sz="4" w:space="0" w:color="auto"/>
            </w:tcBorders>
            <w:shd w:val="clear" w:color="000000" w:fill="FF0000"/>
            <w:noWrap/>
            <w:vAlign w:val="bottom"/>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bottom"/>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217BAA" w:rsidRPr="00217BAA" w:rsidRDefault="00217BAA" w:rsidP="000E740E">
            <w:pPr>
              <w:spacing w:after="0" w:line="240" w:lineRule="auto"/>
              <w:jc w:val="center"/>
              <w:rPr>
                <w:rFonts w:eastAsia="Times New Roman" w:cstheme="minorHAnsi"/>
                <w:color w:val="000000"/>
                <w:sz w:val="16"/>
                <w:szCs w:val="16"/>
                <w:lang w:eastAsia="en-GB"/>
              </w:rPr>
            </w:pPr>
          </w:p>
        </w:tc>
      </w:tr>
      <w:tr w:rsidR="00217BAA" w:rsidRPr="00217BAA" w:rsidTr="00217BAA">
        <w:trPr>
          <w:cantSplit/>
          <w:trHeight w:val="316"/>
        </w:trPr>
        <w:tc>
          <w:tcPr>
            <w:tcW w:w="1129" w:type="dxa"/>
            <w:vMerge/>
            <w:tcBorders>
              <w:left w:val="single" w:sz="4" w:space="0" w:color="auto"/>
              <w:bottom w:val="single" w:sz="4" w:space="0" w:color="auto"/>
              <w:right w:val="single" w:sz="4" w:space="0" w:color="auto"/>
            </w:tcBorders>
            <w:shd w:val="clear" w:color="auto" w:fill="D9D9D9" w:themeFill="background1" w:themeFillShade="D9"/>
            <w:noWrap/>
            <w:vAlign w:val="bottom"/>
            <w:hideMark/>
          </w:tcPr>
          <w:p w:rsidR="00217BAA" w:rsidRPr="00217BAA" w:rsidRDefault="00217BAA" w:rsidP="000E740E">
            <w:pPr>
              <w:spacing w:after="0" w:line="240" w:lineRule="auto"/>
              <w:rPr>
                <w:rFonts w:eastAsia="Times New Roman" w:cstheme="minorHAnsi"/>
                <w:color w:val="000000"/>
                <w:sz w:val="20"/>
                <w:szCs w:val="20"/>
                <w:lang w:eastAsia="en-GB"/>
              </w:rPr>
            </w:pPr>
          </w:p>
        </w:tc>
        <w:tc>
          <w:tcPr>
            <w:tcW w:w="1580" w:type="dxa"/>
            <w:tcBorders>
              <w:top w:val="nil"/>
              <w:left w:val="nil"/>
              <w:bottom w:val="single" w:sz="4" w:space="0" w:color="auto"/>
              <w:right w:val="single" w:sz="4" w:space="0" w:color="auto"/>
            </w:tcBorders>
            <w:shd w:val="clear" w:color="auto" w:fill="auto"/>
            <w:noWrap/>
            <w:vAlign w:val="center"/>
            <w:hideMark/>
          </w:tcPr>
          <w:p w:rsidR="00217BAA" w:rsidRPr="00217BAA" w:rsidRDefault="00217BAA" w:rsidP="000E740E">
            <w:pPr>
              <w:spacing w:after="0" w:line="240" w:lineRule="auto"/>
              <w:rPr>
                <w:rFonts w:eastAsia="Times New Roman" w:cstheme="minorHAnsi"/>
                <w:color w:val="000000"/>
                <w:sz w:val="16"/>
                <w:szCs w:val="16"/>
                <w:lang w:eastAsia="en-GB"/>
              </w:rPr>
            </w:pPr>
            <w:r w:rsidRPr="00217BAA">
              <w:rPr>
                <w:rFonts w:eastAsia="Times New Roman" w:cstheme="minorHAnsi"/>
                <w:color w:val="000000"/>
                <w:sz w:val="16"/>
                <w:szCs w:val="16"/>
                <w:lang w:eastAsia="en-GB"/>
              </w:rPr>
              <w:t>Amyloid</w:t>
            </w:r>
          </w:p>
        </w:tc>
        <w:tc>
          <w:tcPr>
            <w:tcW w:w="1034" w:type="dxa"/>
            <w:tcBorders>
              <w:top w:val="nil"/>
              <w:left w:val="nil"/>
              <w:bottom w:val="single" w:sz="4" w:space="0" w:color="auto"/>
              <w:right w:val="single" w:sz="4" w:space="0" w:color="auto"/>
            </w:tcBorders>
            <w:shd w:val="clear" w:color="000000" w:fill="FF0000"/>
            <w:noWrap/>
            <w:vAlign w:val="center"/>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nil"/>
              <w:left w:val="nil"/>
              <w:bottom w:val="single" w:sz="4" w:space="0" w:color="auto"/>
              <w:right w:val="single" w:sz="4" w:space="0" w:color="auto"/>
            </w:tcBorders>
            <w:shd w:val="clear" w:color="000000" w:fill="FF0000"/>
            <w:noWrap/>
            <w:vAlign w:val="center"/>
            <w:hideMark/>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3" w:type="dxa"/>
            <w:tcBorders>
              <w:top w:val="single" w:sz="4" w:space="0" w:color="auto"/>
              <w:left w:val="nil"/>
              <w:bottom w:val="single" w:sz="4" w:space="0" w:color="auto"/>
              <w:right w:val="single" w:sz="4" w:space="0" w:color="auto"/>
            </w:tcBorders>
            <w:shd w:val="clear" w:color="auto" w:fill="FF0000"/>
            <w:vAlign w:val="center"/>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center"/>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0000"/>
            <w:vAlign w:val="center"/>
          </w:tcPr>
          <w:p w:rsidR="00217BAA" w:rsidRPr="00217BAA" w:rsidRDefault="00217BAA" w:rsidP="000E740E">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None</w:t>
            </w:r>
          </w:p>
        </w:tc>
        <w:tc>
          <w:tcPr>
            <w:tcW w:w="1162" w:type="dxa"/>
            <w:tcBorders>
              <w:top w:val="single" w:sz="4" w:space="0" w:color="auto"/>
              <w:left w:val="nil"/>
              <w:bottom w:val="single" w:sz="4" w:space="0" w:color="auto"/>
              <w:right w:val="single" w:sz="4" w:space="0" w:color="auto"/>
            </w:tcBorders>
            <w:shd w:val="clear" w:color="auto" w:fill="FFFFFF" w:themeFill="background1"/>
            <w:vAlign w:val="center"/>
          </w:tcPr>
          <w:p w:rsidR="00217BAA" w:rsidRPr="00217BAA" w:rsidRDefault="00217BAA" w:rsidP="009B14CA">
            <w:pPr>
              <w:spacing w:after="0" w:line="240" w:lineRule="auto"/>
              <w:jc w:val="center"/>
              <w:rPr>
                <w:rFonts w:eastAsia="Times New Roman" w:cstheme="minorHAnsi"/>
                <w:color w:val="000000"/>
                <w:sz w:val="16"/>
                <w:szCs w:val="16"/>
                <w:lang w:eastAsia="en-GB"/>
              </w:rPr>
            </w:pPr>
            <w:r w:rsidRPr="00217BAA">
              <w:rPr>
                <w:rFonts w:eastAsia="Times New Roman" w:cstheme="minorHAnsi"/>
                <w:color w:val="000000"/>
                <w:sz w:val="16"/>
                <w:szCs w:val="16"/>
                <w:lang w:eastAsia="en-GB"/>
              </w:rPr>
              <w:t>(4)</w:t>
            </w:r>
          </w:p>
        </w:tc>
      </w:tr>
    </w:tbl>
    <w:p w:rsidR="002441F5" w:rsidRDefault="002441F5" w:rsidP="002441F5">
      <w:pPr>
        <w:rPr>
          <w:sz w:val="20"/>
          <w:szCs w:val="20"/>
        </w:rPr>
      </w:pPr>
    </w:p>
    <w:p w:rsidR="00CA57C8" w:rsidRPr="002053A7" w:rsidRDefault="00E63403" w:rsidP="002053A7">
      <w:pPr>
        <w:jc w:val="both"/>
        <w:rPr>
          <w:rFonts w:ascii="Arial" w:hAnsi="Arial" w:cs="Arial"/>
        </w:rPr>
      </w:pPr>
      <w:r w:rsidRPr="002053A7">
        <w:rPr>
          <w:rFonts w:ascii="Arial" w:hAnsi="Arial" w:cs="Arial"/>
        </w:rPr>
        <w:t>** there has been an expansion of indications between 2020 and 2021 but not quite matching the UK document thus not quite fulfilling criteria for “covered”</w:t>
      </w:r>
    </w:p>
    <w:sectPr w:rsidR="00CA57C8" w:rsidRPr="002053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1F5"/>
    <w:rsid w:val="002053A7"/>
    <w:rsid w:val="00217BAA"/>
    <w:rsid w:val="002441F5"/>
    <w:rsid w:val="00264EFD"/>
    <w:rsid w:val="00345DE1"/>
    <w:rsid w:val="004D4B18"/>
    <w:rsid w:val="005D5FB4"/>
    <w:rsid w:val="006D0023"/>
    <w:rsid w:val="006F23F5"/>
    <w:rsid w:val="009B14CA"/>
    <w:rsid w:val="00CA57C8"/>
    <w:rsid w:val="00E634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6BBC5-41A5-4A9A-88E3-92D4807C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1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Fielding (Cardiff and Vale UHB - Radiology )</dc:creator>
  <cp:keywords/>
  <dc:description/>
  <cp:lastModifiedBy>Sarah McAllister (Cwm Taf Morgannwg - WHSSC)</cp:lastModifiedBy>
  <cp:revision>4</cp:revision>
  <dcterms:created xsi:type="dcterms:W3CDTF">2021-04-19T15:04:00Z</dcterms:created>
  <dcterms:modified xsi:type="dcterms:W3CDTF">2021-04-28T08:27:00Z</dcterms:modified>
</cp:coreProperties>
</file>